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6C" w:rsidRPr="00244B05" w:rsidRDefault="0015656C" w:rsidP="003A0B1E">
      <w:pPr>
        <w:pStyle w:val="a3"/>
        <w:adjustRightInd w:val="0"/>
        <w:snapToGrid w:val="0"/>
        <w:spacing w:line="300" w:lineRule="auto"/>
        <w:rPr>
          <w:b w:val="0"/>
          <w:sz w:val="28"/>
          <w:szCs w:val="28"/>
        </w:rPr>
      </w:pPr>
      <w:r w:rsidRPr="00244B05">
        <w:rPr>
          <w:rFonts w:hint="eastAsia"/>
          <w:b w:val="0"/>
          <w:sz w:val="28"/>
          <w:szCs w:val="28"/>
        </w:rPr>
        <w:t>上海师范大学商学院</w:t>
      </w:r>
    </w:p>
    <w:p w:rsidR="00244B05" w:rsidRPr="00244B05" w:rsidRDefault="0015656C" w:rsidP="003A0B1E">
      <w:pPr>
        <w:adjustRightInd w:val="0"/>
        <w:snapToGrid w:val="0"/>
        <w:spacing w:line="300" w:lineRule="auto"/>
        <w:ind w:left="568"/>
        <w:jc w:val="center"/>
        <w:rPr>
          <w:sz w:val="28"/>
          <w:szCs w:val="28"/>
        </w:rPr>
      </w:pPr>
      <w:r w:rsidRPr="00244B05">
        <w:rPr>
          <w:rFonts w:hint="eastAsia"/>
          <w:sz w:val="28"/>
          <w:szCs w:val="28"/>
        </w:rPr>
        <w:t>201</w:t>
      </w:r>
      <w:r w:rsidR="00957598">
        <w:rPr>
          <w:rFonts w:hint="eastAsia"/>
          <w:sz w:val="28"/>
          <w:szCs w:val="28"/>
        </w:rPr>
        <w:t>6</w:t>
      </w:r>
      <w:r w:rsidRPr="00244B05">
        <w:rPr>
          <w:rFonts w:hint="eastAsia"/>
          <w:sz w:val="28"/>
          <w:szCs w:val="28"/>
        </w:rPr>
        <w:t>年优秀应届本科毕业生免试攻读硕士学位研究生</w:t>
      </w:r>
    </w:p>
    <w:p w:rsidR="0015656C" w:rsidRPr="00244B05" w:rsidRDefault="00C35515" w:rsidP="003A0B1E">
      <w:pPr>
        <w:adjustRightInd w:val="0"/>
        <w:snapToGrid w:val="0"/>
        <w:spacing w:line="300" w:lineRule="auto"/>
        <w:ind w:left="568"/>
        <w:jc w:val="center"/>
        <w:rPr>
          <w:rFonts w:ascii="宋体" w:hAnsi="宋体"/>
          <w:b/>
          <w:sz w:val="32"/>
          <w:szCs w:val="32"/>
        </w:rPr>
      </w:pPr>
      <w:r w:rsidRPr="00C35515">
        <w:rPr>
          <w:rFonts w:ascii="仿宋" w:eastAsia="仿宋" w:hAnsi="仿宋" w:hint="eastAsia"/>
          <w:sz w:val="28"/>
          <w:szCs w:val="28"/>
        </w:rPr>
        <w:t>推荐生名单</w:t>
      </w:r>
      <w:r>
        <w:rPr>
          <w:rFonts w:ascii="仿宋" w:eastAsia="仿宋" w:hAnsi="仿宋" w:hint="eastAsia"/>
          <w:sz w:val="28"/>
          <w:szCs w:val="28"/>
        </w:rPr>
        <w:t>公示</w:t>
      </w:r>
    </w:p>
    <w:p w:rsidR="00244B05" w:rsidRDefault="00244B05" w:rsidP="00244B05">
      <w:pPr>
        <w:adjustRightInd w:val="0"/>
        <w:ind w:leftChars="270" w:left="567" w:firstLineChars="200" w:firstLine="420"/>
        <w:rPr>
          <w:rFonts w:ascii="宋体" w:hAnsi="宋体"/>
          <w:szCs w:val="21"/>
        </w:rPr>
      </w:pPr>
    </w:p>
    <w:p w:rsidR="0015656C" w:rsidRPr="003A0B1E" w:rsidRDefault="00C35515" w:rsidP="004020EF">
      <w:pPr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</w:t>
      </w:r>
      <w:r w:rsidR="0015656C" w:rsidRPr="003A0B1E">
        <w:rPr>
          <w:rFonts w:ascii="宋体" w:hAnsi="宋体" w:hint="eastAsia"/>
          <w:sz w:val="24"/>
        </w:rPr>
        <w:t>学院推荐工作小组对</w:t>
      </w:r>
      <w:r w:rsidR="00021D17">
        <w:rPr>
          <w:rFonts w:ascii="宋体" w:hAnsi="宋体" w:hint="eastAsia"/>
          <w:sz w:val="24"/>
        </w:rPr>
        <w:t>推免生</w:t>
      </w:r>
      <w:r w:rsidR="0015656C" w:rsidRPr="003A0B1E">
        <w:rPr>
          <w:rFonts w:ascii="宋体" w:hAnsi="宋体" w:hint="eastAsia"/>
          <w:sz w:val="24"/>
        </w:rPr>
        <w:t>报名学生的绩点</w:t>
      </w:r>
      <w:r w:rsidR="005016D6">
        <w:rPr>
          <w:rFonts w:ascii="宋体" w:hAnsi="宋体" w:hint="eastAsia"/>
          <w:sz w:val="24"/>
        </w:rPr>
        <w:t>（≥3.0）</w:t>
      </w:r>
      <w:r w:rsidR="0015656C" w:rsidRPr="003A0B1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专业考试成绩、</w:t>
      </w:r>
      <w:r w:rsidR="005016D6">
        <w:rPr>
          <w:rFonts w:ascii="宋体" w:hAnsi="宋体" w:hint="eastAsia"/>
          <w:sz w:val="24"/>
        </w:rPr>
        <w:t>综合</w:t>
      </w:r>
      <w:r w:rsidR="005016D6" w:rsidRPr="003A0B1E">
        <w:rPr>
          <w:rFonts w:ascii="宋体" w:hAnsi="宋体" w:hint="eastAsia"/>
          <w:sz w:val="24"/>
        </w:rPr>
        <w:t>素质</w:t>
      </w:r>
      <w:r w:rsidR="005016D6">
        <w:rPr>
          <w:rFonts w:ascii="宋体" w:hAnsi="宋体" w:hint="eastAsia"/>
          <w:sz w:val="24"/>
        </w:rPr>
        <w:t>等</w:t>
      </w:r>
      <w:r w:rsidR="004020EF">
        <w:rPr>
          <w:rFonts w:ascii="宋体" w:hAnsi="宋体" w:hint="eastAsia"/>
          <w:sz w:val="24"/>
        </w:rPr>
        <w:t>进行</w:t>
      </w:r>
      <w:r w:rsidR="0015656C" w:rsidRPr="003A0B1E">
        <w:rPr>
          <w:rFonts w:ascii="宋体" w:hAnsi="宋体" w:hint="eastAsia"/>
          <w:sz w:val="24"/>
        </w:rPr>
        <w:t>综合</w:t>
      </w:r>
      <w:r w:rsidR="004020EF">
        <w:rPr>
          <w:rFonts w:ascii="宋体" w:hAnsi="宋体" w:hint="eastAsia"/>
          <w:sz w:val="24"/>
        </w:rPr>
        <w:t>评分</w:t>
      </w:r>
      <w:r w:rsidR="00D4781E">
        <w:rPr>
          <w:rFonts w:ascii="宋体" w:hAnsi="宋体" w:hint="eastAsia"/>
          <w:sz w:val="24"/>
        </w:rPr>
        <w:t>和排序</w:t>
      </w:r>
      <w:r w:rsidR="0015656C" w:rsidRPr="003A0B1E">
        <w:rPr>
          <w:rFonts w:ascii="宋体" w:hAnsi="宋体" w:hint="eastAsia"/>
          <w:sz w:val="24"/>
        </w:rPr>
        <w:t>，</w:t>
      </w:r>
      <w:r w:rsidR="004020EF">
        <w:rPr>
          <w:rFonts w:ascii="宋体" w:hAnsi="宋体" w:hint="eastAsia"/>
          <w:sz w:val="24"/>
        </w:rPr>
        <w:t>并根据专业类分配</w:t>
      </w:r>
      <w:r w:rsidR="00D4781E">
        <w:rPr>
          <w:rFonts w:ascii="宋体" w:hAnsi="宋体" w:hint="eastAsia"/>
          <w:sz w:val="24"/>
        </w:rPr>
        <w:t>的指标择优录取</w:t>
      </w:r>
      <w:r w:rsidR="004020E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推荐免试攻读硕士学位的研究生</w:t>
      </w:r>
      <w:r w:rsidR="00244B05" w:rsidRPr="003A0B1E">
        <w:rPr>
          <w:rFonts w:ascii="宋体" w:hAnsi="宋体" w:hint="eastAsia"/>
          <w:sz w:val="24"/>
        </w:rPr>
        <w:t>名单如下：</w:t>
      </w:r>
    </w:p>
    <w:tbl>
      <w:tblPr>
        <w:tblW w:w="7705" w:type="dxa"/>
        <w:tblInd w:w="313" w:type="dxa"/>
        <w:tblLook w:val="04A0"/>
      </w:tblPr>
      <w:tblGrid>
        <w:gridCol w:w="1203"/>
        <w:gridCol w:w="1474"/>
        <w:gridCol w:w="1134"/>
        <w:gridCol w:w="709"/>
        <w:gridCol w:w="1434"/>
        <w:gridCol w:w="1751"/>
      </w:tblGrid>
      <w:tr w:rsidR="002074DC" w:rsidRPr="003A0B1E" w:rsidTr="00EC77CE">
        <w:trPr>
          <w:trHeight w:hRule="exact" w:val="45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DC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DC" w:rsidRPr="003A0B1E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DC" w:rsidRPr="003A0B1E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A0B1E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DC" w:rsidRPr="003A0B1E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A0B1E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4DC" w:rsidRPr="003A0B1E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A0B1E">
              <w:rPr>
                <w:rFonts w:ascii="宋体" w:hAnsi="宋体" w:cs="宋体" w:hint="eastAsia"/>
                <w:b/>
                <w:kern w:val="0"/>
                <w:sz w:val="24"/>
              </w:rPr>
              <w:t>本科专业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4DC" w:rsidRPr="003A0B1E" w:rsidRDefault="002074DC" w:rsidP="004020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管理类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夏晓彤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CA58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财管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120152433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方卉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9646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财管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120150330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樊乔昱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EE76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财管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王宇佳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E332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3301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候补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经济类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120152809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B04B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投资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3301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120152583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高靖雯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087F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保险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120152841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朱倩雯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CA70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投资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CC4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4020EF">
            <w:pPr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4012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FF09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120142160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黄诗怡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BA7B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120152873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罗瑶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822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120152667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魏子涵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363D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中法经济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120192783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熊樱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8921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金融学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8146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120152590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徐梓云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E61C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保险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9631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昝哲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963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经济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15656C" w:rsidRDefault="005016D6" w:rsidP="009631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120152774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滑惠嘉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4020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金工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3A0B1E" w:rsidRDefault="005016D6" w:rsidP="005016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候补</w:t>
            </w:r>
            <w:bookmarkStart w:id="0" w:name="_GoBack"/>
            <w:bookmarkEnd w:id="0"/>
          </w:p>
        </w:tc>
      </w:tr>
      <w:tr w:rsidR="005016D6" w:rsidRPr="003A0B1E" w:rsidTr="00EC77CE">
        <w:trPr>
          <w:trHeight w:hRule="exact" w:val="45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D6" w:rsidRPr="004020EF" w:rsidRDefault="005016D6" w:rsidP="00C355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4020EF" w:rsidRDefault="00EA4CBD" w:rsidP="00A05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120152695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Default="005016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彭牡丹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4020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6D6" w:rsidRPr="0015656C" w:rsidRDefault="005016D6" w:rsidP="00501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016D6">
              <w:rPr>
                <w:rFonts w:ascii="宋体" w:hAnsi="宋体" w:cs="宋体" w:hint="eastAsia"/>
                <w:kern w:val="0"/>
                <w:sz w:val="24"/>
              </w:rPr>
              <w:t>法语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D6" w:rsidRPr="003A0B1E" w:rsidRDefault="005016D6" w:rsidP="005016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正式推荐</w:t>
            </w:r>
          </w:p>
        </w:tc>
      </w:tr>
    </w:tbl>
    <w:p w:rsidR="003A0B1E" w:rsidRPr="004020EF" w:rsidRDefault="004020EF" w:rsidP="004020EF">
      <w:pPr>
        <w:rPr>
          <w:rFonts w:ascii="宋体" w:hAnsi="宋体"/>
          <w:b/>
          <w:sz w:val="24"/>
        </w:rPr>
      </w:pPr>
      <w:r w:rsidRPr="004020EF">
        <w:rPr>
          <w:rFonts w:ascii="宋体" w:hAnsi="宋体" w:hint="eastAsia"/>
          <w:b/>
          <w:sz w:val="24"/>
        </w:rPr>
        <w:t>注：候补推荐的学生只有在</w:t>
      </w:r>
      <w:r w:rsidR="005016D6">
        <w:rPr>
          <w:rFonts w:ascii="宋体" w:hAnsi="宋体" w:hint="eastAsia"/>
          <w:b/>
          <w:sz w:val="24"/>
        </w:rPr>
        <w:t>所在专业类</w:t>
      </w:r>
      <w:r w:rsidRPr="004020EF">
        <w:rPr>
          <w:rFonts w:ascii="宋体" w:hAnsi="宋体" w:hint="eastAsia"/>
          <w:b/>
          <w:sz w:val="24"/>
        </w:rPr>
        <w:t>正式推荐的学生放弃此次机会时才能进入推荐名单</w:t>
      </w:r>
    </w:p>
    <w:p w:rsidR="009C7982" w:rsidRPr="00565389" w:rsidRDefault="003A0B1E" w:rsidP="003A0B1E">
      <w:pPr>
        <w:spacing w:line="300" w:lineRule="auto"/>
        <w:ind w:firstLineChars="200" w:firstLine="480"/>
        <w:rPr>
          <w:sz w:val="24"/>
        </w:rPr>
      </w:pPr>
      <w:r w:rsidRPr="00565389">
        <w:rPr>
          <w:sz w:val="24"/>
        </w:rPr>
        <w:t>请以上同学</w:t>
      </w:r>
      <w:r w:rsidR="003925D1" w:rsidRPr="00565389">
        <w:rPr>
          <w:sz w:val="24"/>
        </w:rPr>
        <w:t>重新完善</w:t>
      </w:r>
      <w:r w:rsidR="00244B05" w:rsidRPr="00565389">
        <w:rPr>
          <w:sz w:val="24"/>
        </w:rPr>
        <w:t>《优秀应届本科毕业生免试为硕士生推荐表》，</w:t>
      </w:r>
      <w:r w:rsidR="003925D1" w:rsidRPr="00565389">
        <w:rPr>
          <w:sz w:val="24"/>
        </w:rPr>
        <w:t>并</w:t>
      </w:r>
      <w:r w:rsidRPr="00565389">
        <w:rPr>
          <w:sz w:val="24"/>
        </w:rPr>
        <w:t>于</w:t>
      </w:r>
      <w:r w:rsidRPr="00565389">
        <w:rPr>
          <w:sz w:val="24"/>
        </w:rPr>
        <w:t>9</w:t>
      </w:r>
      <w:r w:rsidRPr="00565389">
        <w:rPr>
          <w:sz w:val="24"/>
        </w:rPr>
        <w:t>月</w:t>
      </w:r>
      <w:r w:rsidR="00957598">
        <w:rPr>
          <w:rFonts w:hint="eastAsia"/>
          <w:sz w:val="24"/>
        </w:rPr>
        <w:t>18</w:t>
      </w:r>
      <w:r w:rsidRPr="00565389">
        <w:rPr>
          <w:sz w:val="24"/>
        </w:rPr>
        <w:t>日</w:t>
      </w:r>
      <w:r w:rsidR="005A476D">
        <w:rPr>
          <w:rFonts w:hint="eastAsia"/>
          <w:sz w:val="24"/>
        </w:rPr>
        <w:t>下午</w:t>
      </w:r>
      <w:r w:rsidR="005A476D">
        <w:rPr>
          <w:rFonts w:hint="eastAsia"/>
          <w:sz w:val="24"/>
        </w:rPr>
        <w:t>5</w:t>
      </w:r>
      <w:r w:rsidRPr="00565389">
        <w:rPr>
          <w:sz w:val="24"/>
        </w:rPr>
        <w:t>点前</w:t>
      </w:r>
      <w:r w:rsidR="00244B05" w:rsidRPr="00565389">
        <w:rPr>
          <w:sz w:val="24"/>
        </w:rPr>
        <w:t>上交相关资料</w:t>
      </w:r>
      <w:r w:rsidR="003925D1" w:rsidRPr="00565389">
        <w:rPr>
          <w:sz w:val="24"/>
        </w:rPr>
        <w:t>到</w:t>
      </w:r>
      <w:r w:rsidR="00A05DD8">
        <w:rPr>
          <w:rFonts w:hint="eastAsia"/>
          <w:sz w:val="24"/>
        </w:rPr>
        <w:t>六教</w:t>
      </w:r>
      <w:r w:rsidR="003925D1" w:rsidRPr="00565389">
        <w:rPr>
          <w:sz w:val="24"/>
        </w:rPr>
        <w:t>420</w:t>
      </w:r>
      <w:r w:rsidR="003925D1" w:rsidRPr="00565389">
        <w:rPr>
          <w:sz w:val="24"/>
        </w:rPr>
        <w:t>黄老师处</w:t>
      </w:r>
      <w:r w:rsidR="00244B05" w:rsidRPr="00565389">
        <w:rPr>
          <w:sz w:val="24"/>
        </w:rPr>
        <w:t>。</w:t>
      </w:r>
    </w:p>
    <w:p w:rsidR="00565389" w:rsidRPr="00565389" w:rsidRDefault="00565389" w:rsidP="003A0B1E">
      <w:pPr>
        <w:spacing w:line="300" w:lineRule="auto"/>
        <w:ind w:firstLineChars="200" w:firstLine="480"/>
        <w:rPr>
          <w:sz w:val="24"/>
        </w:rPr>
      </w:pPr>
      <w:r w:rsidRPr="00565389">
        <w:rPr>
          <w:sz w:val="24"/>
        </w:rPr>
        <w:t>公示时间：</w:t>
      </w:r>
      <w:r w:rsidRPr="00565389">
        <w:rPr>
          <w:sz w:val="24"/>
        </w:rPr>
        <w:t>201</w:t>
      </w:r>
      <w:r w:rsidR="001F3C0E">
        <w:rPr>
          <w:rFonts w:hint="eastAsia"/>
          <w:sz w:val="24"/>
        </w:rPr>
        <w:t>5</w:t>
      </w:r>
      <w:r w:rsidRPr="00565389">
        <w:rPr>
          <w:sz w:val="24"/>
        </w:rPr>
        <w:t>年</w:t>
      </w:r>
      <w:r w:rsidRPr="00565389">
        <w:rPr>
          <w:sz w:val="24"/>
        </w:rPr>
        <w:t>9</w:t>
      </w:r>
      <w:r w:rsidRPr="00565389">
        <w:rPr>
          <w:sz w:val="24"/>
        </w:rPr>
        <w:t>月</w:t>
      </w:r>
      <w:r w:rsidRPr="00565389">
        <w:rPr>
          <w:sz w:val="24"/>
        </w:rPr>
        <w:t>1</w:t>
      </w:r>
      <w:r w:rsidR="005A476D">
        <w:rPr>
          <w:rFonts w:hint="eastAsia"/>
          <w:sz w:val="24"/>
        </w:rPr>
        <w:t>8</w:t>
      </w:r>
      <w:r w:rsidRPr="00565389">
        <w:rPr>
          <w:sz w:val="24"/>
        </w:rPr>
        <w:t>日至</w:t>
      </w:r>
      <w:r w:rsidRPr="00565389">
        <w:rPr>
          <w:sz w:val="24"/>
        </w:rPr>
        <w:t>201</w:t>
      </w:r>
      <w:r w:rsidR="001F3C0E">
        <w:rPr>
          <w:rFonts w:hint="eastAsia"/>
          <w:sz w:val="24"/>
        </w:rPr>
        <w:t>5</w:t>
      </w:r>
      <w:r w:rsidRPr="00565389">
        <w:rPr>
          <w:sz w:val="24"/>
        </w:rPr>
        <w:t>年</w:t>
      </w:r>
      <w:r w:rsidRPr="00565389">
        <w:rPr>
          <w:sz w:val="24"/>
        </w:rPr>
        <w:t>9</w:t>
      </w:r>
      <w:r w:rsidRPr="00565389">
        <w:rPr>
          <w:sz w:val="24"/>
        </w:rPr>
        <w:t>月</w:t>
      </w:r>
      <w:r w:rsidR="005A476D">
        <w:rPr>
          <w:rFonts w:hint="eastAsia"/>
          <w:sz w:val="24"/>
        </w:rPr>
        <w:t>24</w:t>
      </w:r>
      <w:r w:rsidRPr="00565389">
        <w:rPr>
          <w:sz w:val="24"/>
        </w:rPr>
        <w:t>日</w:t>
      </w:r>
    </w:p>
    <w:p w:rsidR="003A0B1E" w:rsidRPr="00565389" w:rsidRDefault="00565389" w:rsidP="003A0B1E">
      <w:pPr>
        <w:ind w:firstLineChars="200" w:firstLine="480"/>
        <w:rPr>
          <w:sz w:val="24"/>
        </w:rPr>
      </w:pPr>
      <w:r w:rsidRPr="00565389">
        <w:rPr>
          <w:sz w:val="24"/>
        </w:rPr>
        <w:t>若有异议，请将意见反馈给王院长：电话：</w:t>
      </w:r>
      <w:r w:rsidRPr="00565389">
        <w:rPr>
          <w:sz w:val="24"/>
        </w:rPr>
        <w:t>6432351</w:t>
      </w:r>
      <w:r w:rsidR="00A05DD8">
        <w:rPr>
          <w:rFonts w:hint="eastAsia"/>
          <w:sz w:val="24"/>
        </w:rPr>
        <w:t>6</w:t>
      </w:r>
      <w:r w:rsidRPr="00565389">
        <w:rPr>
          <w:sz w:val="24"/>
        </w:rPr>
        <w:t>；</w:t>
      </w:r>
      <w:proofErr w:type="spellStart"/>
      <w:r w:rsidRPr="00565389">
        <w:rPr>
          <w:sz w:val="24"/>
        </w:rPr>
        <w:t>email:wzw@shn</w:t>
      </w:r>
      <w:r w:rsidR="00A05DD8">
        <w:rPr>
          <w:rFonts w:hint="eastAsia"/>
          <w:sz w:val="24"/>
        </w:rPr>
        <w:t>u</w:t>
      </w:r>
      <w:r w:rsidRPr="00565389">
        <w:rPr>
          <w:sz w:val="24"/>
        </w:rPr>
        <w:t>.edu.cn</w:t>
      </w:r>
      <w:proofErr w:type="spellEnd"/>
    </w:p>
    <w:p w:rsidR="00565389" w:rsidRDefault="00565389" w:rsidP="003A0B1E">
      <w:pPr>
        <w:ind w:firstLineChars="200" w:firstLine="480"/>
        <w:jc w:val="right"/>
        <w:rPr>
          <w:rFonts w:ascii="宋体" w:hAnsi="宋体"/>
          <w:sz w:val="24"/>
        </w:rPr>
      </w:pPr>
    </w:p>
    <w:p w:rsidR="003A0B1E" w:rsidRDefault="003A0B1E" w:rsidP="00565389">
      <w:pPr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商学院推免生</w:t>
      </w:r>
      <w:r w:rsidRPr="003A0B1E">
        <w:rPr>
          <w:rFonts w:ascii="宋体" w:hAnsi="宋体" w:hint="eastAsia"/>
          <w:sz w:val="24"/>
        </w:rPr>
        <w:t>推荐工作小组</w:t>
      </w:r>
    </w:p>
    <w:p w:rsidR="003A0B1E" w:rsidRPr="003A0B1E" w:rsidRDefault="003A0B1E" w:rsidP="003A0B1E">
      <w:pPr>
        <w:wordWrap w:val="0"/>
        <w:ind w:firstLineChars="200" w:firstLine="480"/>
        <w:jc w:val="right"/>
        <w:rPr>
          <w:sz w:val="24"/>
        </w:rPr>
      </w:pPr>
      <w:r>
        <w:rPr>
          <w:rFonts w:ascii="宋体" w:hAnsi="宋体" w:hint="eastAsia"/>
          <w:sz w:val="24"/>
        </w:rPr>
        <w:t xml:space="preserve"> 201</w:t>
      </w:r>
      <w:r w:rsidR="00FF09E9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年9月</w:t>
      </w:r>
      <w:r w:rsidR="00021D17">
        <w:rPr>
          <w:rFonts w:ascii="宋体" w:hAnsi="宋体" w:hint="eastAsia"/>
          <w:sz w:val="24"/>
        </w:rPr>
        <w:t>1</w:t>
      </w:r>
      <w:r w:rsidR="005A476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 xml:space="preserve">日    </w:t>
      </w:r>
    </w:p>
    <w:sectPr w:rsidR="003A0B1E" w:rsidRPr="003A0B1E" w:rsidSect="009C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F4" w:rsidRDefault="00A81AF4" w:rsidP="00C35515">
      <w:r>
        <w:separator/>
      </w:r>
    </w:p>
  </w:endnote>
  <w:endnote w:type="continuationSeparator" w:id="0">
    <w:p w:rsidR="00A81AF4" w:rsidRDefault="00A81AF4" w:rsidP="00C35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F4" w:rsidRDefault="00A81AF4" w:rsidP="00C35515">
      <w:r>
        <w:separator/>
      </w:r>
    </w:p>
  </w:footnote>
  <w:footnote w:type="continuationSeparator" w:id="0">
    <w:p w:rsidR="00A81AF4" w:rsidRDefault="00A81AF4" w:rsidP="00C35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E6DF9"/>
    <w:multiLevelType w:val="hybridMultilevel"/>
    <w:tmpl w:val="EC307BEC"/>
    <w:lvl w:ilvl="0" w:tplc="F042C4F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F042C4F2">
      <w:start w:val="1"/>
      <w:numFmt w:val="decimal"/>
      <w:lvlText w:val="（%3）"/>
      <w:lvlJc w:val="left"/>
      <w:pPr>
        <w:ind w:left="988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56C"/>
    <w:rsid w:val="00021D17"/>
    <w:rsid w:val="0006420B"/>
    <w:rsid w:val="0015656C"/>
    <w:rsid w:val="00195A04"/>
    <w:rsid w:val="001F3C0E"/>
    <w:rsid w:val="002046EA"/>
    <w:rsid w:val="002074DC"/>
    <w:rsid w:val="00233BF9"/>
    <w:rsid w:val="00233E47"/>
    <w:rsid w:val="00243532"/>
    <w:rsid w:val="00244B05"/>
    <w:rsid w:val="003925D1"/>
    <w:rsid w:val="003A0B1E"/>
    <w:rsid w:val="003C0011"/>
    <w:rsid w:val="003E6703"/>
    <w:rsid w:val="004020EF"/>
    <w:rsid w:val="0043490D"/>
    <w:rsid w:val="005016D6"/>
    <w:rsid w:val="005174F4"/>
    <w:rsid w:val="00565389"/>
    <w:rsid w:val="005A24B3"/>
    <w:rsid w:val="005A476D"/>
    <w:rsid w:val="005C43F8"/>
    <w:rsid w:val="00693FE3"/>
    <w:rsid w:val="006F2983"/>
    <w:rsid w:val="0071287E"/>
    <w:rsid w:val="00724BD7"/>
    <w:rsid w:val="00800C2C"/>
    <w:rsid w:val="00936AED"/>
    <w:rsid w:val="00957598"/>
    <w:rsid w:val="00984E62"/>
    <w:rsid w:val="009C7982"/>
    <w:rsid w:val="009F6D02"/>
    <w:rsid w:val="00A05DD8"/>
    <w:rsid w:val="00A233A1"/>
    <w:rsid w:val="00A81AF4"/>
    <w:rsid w:val="00BD245F"/>
    <w:rsid w:val="00C35515"/>
    <w:rsid w:val="00C45FD8"/>
    <w:rsid w:val="00C54B8A"/>
    <w:rsid w:val="00D24637"/>
    <w:rsid w:val="00D4781E"/>
    <w:rsid w:val="00E0411F"/>
    <w:rsid w:val="00E26DC4"/>
    <w:rsid w:val="00EA4CBD"/>
    <w:rsid w:val="00EC77CE"/>
    <w:rsid w:val="00EE2950"/>
    <w:rsid w:val="00F00A00"/>
    <w:rsid w:val="00F476CC"/>
    <w:rsid w:val="00F47B1B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5656C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5656C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35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55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5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55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dcterms:created xsi:type="dcterms:W3CDTF">2015-09-18T02:28:00Z</dcterms:created>
  <dcterms:modified xsi:type="dcterms:W3CDTF">2015-09-19T13:04:00Z</dcterms:modified>
</cp:coreProperties>
</file>